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B3" w:rsidRPr="009959A8" w:rsidRDefault="000847B3" w:rsidP="000847B3">
      <w:pPr>
        <w:shd w:val="clear" w:color="auto" w:fill="FAFCFC"/>
        <w:jc w:val="center"/>
        <w:rPr>
          <w:rFonts w:ascii="Times New Roman" w:hAnsi="Times New Roman" w:cs="Times New Roman"/>
          <w:b/>
          <w:caps/>
          <w:color w:val="191520"/>
          <w:sz w:val="20"/>
          <w:szCs w:val="20"/>
        </w:rPr>
      </w:pPr>
      <w:r w:rsidRPr="009959A8">
        <w:rPr>
          <w:rFonts w:ascii="Times New Roman" w:hAnsi="Times New Roman" w:cs="Times New Roman"/>
          <w:b/>
          <w:caps/>
          <w:color w:val="191520"/>
          <w:sz w:val="20"/>
          <w:szCs w:val="20"/>
        </w:rPr>
        <w:t>УВЕДОМЛЕНИЕ ОБ АКТУАЛИЗАЦИИ СХЕМЫ ГОРОДСКОГО ПОСЕЛЕНИЯ «ГОРОД ЗАВИТИНСК», СХЕМЫ ТЕПЛОСНАБЖЕНИЯ АНТОНОВСКОГО СЕЛЬСКОГО ПОСЕЛЕНИЯ, СХЕМЫ ТЕПЛОСНАБЖЕНИЯ Куприяновкого СЕЛЬСКОГО ПОСЕЛЕНИЯ, СХЕМЫ ТЕПЛОСНАБЖЕНИЯ Иннокетьевского СЕЛЬСКОГО ПОСЕЛЕНИЯ, СХЕМЫ ТЕПЛОСНАБЖЕНИЯ успеновского СЕЛЬСКОГО ПОСЕЛЕНИЯ, СХЕМЫ ТЕПЛОСНАБЖЕНИЯ болдыревского СЕЛЬСКОГО ПОСЕЛЕНИЯ, СХЕМЫ ТЕПЛОСНАБЖЕНИЯ Верхнеильиновского СЕЛЬСКОГО ПОСЕЛЕНИЯ НА 2022 ГОД.</w:t>
      </w:r>
    </w:p>
    <w:p w:rsidR="000847B3" w:rsidRPr="009959A8" w:rsidRDefault="00EC5F78" w:rsidP="000847B3">
      <w:pPr>
        <w:pStyle w:val="a3"/>
        <w:shd w:val="clear" w:color="auto" w:fill="FAFCFC"/>
        <w:spacing w:before="0" w:beforeAutospacing="0" w:after="180" w:afterAutospacing="0"/>
        <w:jc w:val="both"/>
        <w:rPr>
          <w:color w:val="000000"/>
          <w:sz w:val="22"/>
          <w:szCs w:val="22"/>
        </w:rPr>
      </w:pPr>
      <w:r>
        <w:rPr>
          <w:color w:val="000000"/>
          <w:sz w:val="22"/>
          <w:szCs w:val="22"/>
        </w:rPr>
        <w:t>В соответствии</w:t>
      </w:r>
      <w:bookmarkStart w:id="0" w:name="_GoBack"/>
      <w:bookmarkEnd w:id="0"/>
      <w:r w:rsidR="000847B3" w:rsidRPr="009959A8">
        <w:rPr>
          <w:color w:val="000000"/>
          <w:sz w:val="22"/>
          <w:szCs w:val="22"/>
        </w:rPr>
        <w:t xml:space="preserve"> с Федеральным законом «Об общих принципах организации местного самоуправления в Российской Федерации» от 06.10.2003 № 131-ФЗ, Федеральным законом «О теплоснабжении» от 27.07.2010 № 190-ФЗ,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 Завитинского округа уведомляет о проведении актуализации Схем теплоснабжения на 2022 год.</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Актуализация схем теплоснабжения, в соответствии с п. 22 «Требований к порядку разработки и утверждения схем теплоснабжения», утвержденных постановлением Правительства РФ от 22.02.2012 № 154, производится в отношении следующих данных:</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 а) распределение тепловой нагрузки между источниками тепловой энергии в период, на который распределяются нагрузки;</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 б)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в)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 г)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д) переключение тепловой нагрузки от котельных на источники с комбинированной выработкой тепловой и электрической энергии в отопительный период, в том числе за счет вывода котельных в пиковый режим работы, холодный резерв, из эксплуатации;</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е) мероприятия по переоборудованию котельных в источники комбинированной выработки электрической и тепловой энергии;</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ж) 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з) строительство и реконструкция тепловых сетей, включая их реконструкцию в связи с исчерпанием установленного и продленного ресурсов;</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и) баланс топливно-энергетических ресурсов для обеспечения теплоснабжения, в том числе расходов аварийных запасов топлива;</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к) финансовые потребности при изменении схемы теплоснабжения и источники их покрытия.</w:t>
      </w:r>
    </w:p>
    <w:p w:rsidR="000847B3" w:rsidRPr="009959A8" w:rsidRDefault="000847B3" w:rsidP="000847B3">
      <w:pPr>
        <w:pStyle w:val="a3"/>
        <w:shd w:val="clear" w:color="auto" w:fill="FAFCFC"/>
        <w:spacing w:before="0" w:beforeAutospacing="0" w:after="180" w:afterAutospacing="0"/>
        <w:jc w:val="both"/>
        <w:rPr>
          <w:color w:val="000000"/>
          <w:sz w:val="22"/>
          <w:szCs w:val="22"/>
        </w:rPr>
      </w:pPr>
      <w:r w:rsidRPr="009959A8">
        <w:rPr>
          <w:color w:val="000000"/>
          <w:sz w:val="22"/>
          <w:szCs w:val="22"/>
        </w:rPr>
        <w:t>Сбор замечаний и предложений от теплоснабжающих организаций и иных лиц по актуализации Схемы теплоснабжения в границах Завитинского округа принимаются до </w:t>
      </w:r>
      <w:r w:rsidR="00BC0311">
        <w:rPr>
          <w:rStyle w:val="a4"/>
          <w:color w:val="000000"/>
          <w:sz w:val="22"/>
          <w:szCs w:val="22"/>
        </w:rPr>
        <w:t>01.03.2022</w:t>
      </w:r>
      <w:r w:rsidRPr="009959A8">
        <w:rPr>
          <w:rStyle w:val="a4"/>
          <w:color w:val="000000"/>
          <w:sz w:val="22"/>
          <w:szCs w:val="22"/>
        </w:rPr>
        <w:t xml:space="preserve"> года</w:t>
      </w:r>
      <w:r w:rsidRPr="009959A8">
        <w:rPr>
          <w:color w:val="000000"/>
          <w:sz w:val="22"/>
          <w:szCs w:val="22"/>
        </w:rPr>
        <w:t> по адресу: г. Завитинск, ул. Куйбышева, д.44, а также по телефону 8(41636)21802, электронной почте </w:t>
      </w:r>
      <w:hyperlink r:id="rId4" w:history="1">
        <w:r w:rsidRPr="009959A8">
          <w:rPr>
            <w:rStyle w:val="a5"/>
            <w:sz w:val="22"/>
            <w:szCs w:val="22"/>
            <w:lang w:val="en-US"/>
          </w:rPr>
          <w:t>admzavit</w:t>
        </w:r>
        <w:r w:rsidRPr="009959A8">
          <w:rPr>
            <w:rStyle w:val="a5"/>
            <w:sz w:val="22"/>
            <w:szCs w:val="22"/>
          </w:rPr>
          <w:t>@mail.ru</w:t>
        </w:r>
      </w:hyperlink>
      <w:r w:rsidRPr="009959A8">
        <w:rPr>
          <w:color w:val="000000"/>
          <w:sz w:val="22"/>
          <w:szCs w:val="22"/>
        </w:rPr>
        <w:t> с пометкой «по вопросу актуализации Схем теплоснабжения»</w:t>
      </w:r>
    </w:p>
    <w:p w:rsidR="000847B3" w:rsidRPr="00C90C94" w:rsidRDefault="000847B3" w:rsidP="000847B3">
      <w:pPr>
        <w:rPr>
          <w:rFonts w:ascii="Times New Roman" w:hAnsi="Times New Roman" w:cs="Times New Roman"/>
        </w:rPr>
      </w:pPr>
    </w:p>
    <w:p w:rsidR="006D7B28" w:rsidRDefault="006D7B28"/>
    <w:sectPr w:rsidR="006D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87"/>
    <w:rsid w:val="000847B3"/>
    <w:rsid w:val="006D7B28"/>
    <w:rsid w:val="00A75487"/>
    <w:rsid w:val="00BC0311"/>
    <w:rsid w:val="00EC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ED3C"/>
  <w15:chartTrackingRefBased/>
  <w15:docId w15:val="{E9D1A889-97CF-4328-8C50-BE70C23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7B3"/>
    <w:rPr>
      <w:b/>
      <w:bCs/>
    </w:rPr>
  </w:style>
  <w:style w:type="character" w:styleId="a5">
    <w:name w:val="Hyperlink"/>
    <w:basedOn w:val="a0"/>
    <w:uiPriority w:val="99"/>
    <w:unhideWhenUsed/>
    <w:rsid w:val="00084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zav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2022-01-19T23:52:00Z</dcterms:created>
  <dcterms:modified xsi:type="dcterms:W3CDTF">2022-06-07T04:19:00Z</dcterms:modified>
</cp:coreProperties>
</file>